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2012/2 vom 6. Februar 2012</w:t>
      </w:r>
    </w:p>
    <w:p>
      <w:r>
        <w:t>Bundesverwaltungsgericht, 2012-02-06, DE</w:t>
      </w:r>
    </w:p>
    <w:p>
      <w:r>
        <w:rPr>
          <w:b/>
        </w:rPr>
        <w:t xml:space="preserve">Quelle: </w:t>
      </w:r>
      <w:r>
        <w:t>https://mcp.opencaselaw.ch/entscheid/bvger_BVGE 2012_2</w:t>
      </w:r>
    </w:p>
    <w:p>
      <w:r>
        <w:t>FR: TAF BVGE 2012/2 du 6 février 2012</w:t>
      </w:r>
    </w:p>
    <w:p>
      <w:r>
        <w:t>IT: TAF BVGE 2012/2 del 6 febbraio 2012</w:t>
      </w:r>
    </w:p>
    <w:p>
      <w:pPr>
        <w:pStyle w:val="Heading2"/>
      </w:pPr>
      <w:r>
        <w:t>Regeste</w:t>
      </w:r>
    </w:p>
    <w:p>
      <w:r>
        <w:t>Zuweisung der Asylsuchenden an die Kantone</w:t>
      </w:r>
    </w:p>
    <w:p>
      <w:pPr>
        <w:pStyle w:val="Heading2"/>
      </w:pPr>
      <w:r>
        <w:t>Erwägungen</w:t>
      </w:r>
    </w:p>
    <w:p>
      <w:r>
        <w:rPr>
          <w:b/>
        </w:rPr>
        <w:t>E. 2</w:t>
      </w:r>
    </w:p>
    <w:p>
      <w:r>
        <w:t>Art. 26 FK ist inhaltlich hinreichend bestimmt und klar, um innerstaatlich unmittelbar zur Anwendung zu gelangen (self-executing). Die Bestimmung begründet für vorläufig aufgenom­mene Flüchtlinge einen Anspruch auf Kantonswechsel im glei­chen Umfang, wie er einer niedergelassenen Person gestützt auf Art. 37 Abs. 3 AuG zusteht (E. 5).</w:t>
      </w:r>
    </w:p>
    <w:p>
      <w:r>
        <w:rPr>
          <w:b/>
        </w:rPr>
        <w:t>E. 2.1</w:t>
      </w:r>
    </w:p>
    <w:p>
      <w:r>
        <w:t>Gemäss Art. 85 Abs. 3 AuG ist das Gesuch um Kantonswechsel von vorläufig aufgenommenen Personen beim BFM einzureichen, wobei dieses nach Anhörung der beteiligten Kantone grundsätzlich endgültig entscheidet. Vorbehalten bleibt gemäss Art. 85 Abs. 4 AuG die Anfech­tung dieses Entscheides mit der Begründung, er verletze den Grundsatz der Einheit der Familie.</w:t>
      </w:r>
    </w:p>
    <w:p>
      <w:r>
        <w:rPr>
          <w:b/>
        </w:rPr>
        <w:t>E. 2.2</w:t>
      </w:r>
    </w:p>
    <w:p>
      <w:r>
        <w:t>Im Folgenden ist zu prüfen, ob Art. 85 Abs. 4 AuG auch für vorläufig aufgenommene Flüchtlinge gilt. Bejahendenfalls wäre aufgrund der eingeschränkten Kognition des Gerichts auf die Beschwerde nicht einzutreten, zumal diese nicht - auch nicht sinngemäss - mit der Verlet­zung des Grundsatzes der Einheit der Familie, sondern mit der Verlet­zung des sich für Flüchtlinge aus Art. 26 FK ergebenden Anspruchs auf Freizügigkeit begründet wird.</w:t>
      </w:r>
    </w:p>
    <w:p>
      <w:r>
        <w:rPr>
          <w:b/>
        </w:rPr>
        <w:t>E. 3</w:t>
      </w:r>
    </w:p>
    <w:p>
      <w:r>
        <w:t>Nella fattispecie il ricorrente ha diritto al cambiamento di Can­tone in base all'art. 37 cpv. 3 LStr, non sussistendo motivi di revoca ai sensi dell'art. 63 LStr (consid. 6). Mit Verfügung vom 30. März 2011 lehnte das Bundesamt für Migration (BFM) das Gesuch des Beschwerdeführers vom 21. Februar 2011 um Kantonswechsel ab. Zur Begründung führte das BFM aus, gemäss Art. 22 Abs. 2 der Asylverordnung 1 vom 11. August 1999 (AsylV 1, SR 142.311) in Verbindung mit Art. 27 Abs. 3 des Asylgesetzes vom 26. Juni 1998 (AsylG, SR 142.31) und Art. 21 der Verordnung vom 11. August 1999 über den Vollzug der Weg- und Ausweisung von ausländischen Personen (VVWA, SR 142.281) verfüge das BFM einen Kantonswechsel auf Gesuch einer vorläufig aufgenommenen Person bei Anspruch auf Einheit der Familie oder schwerwiegender Gefährdung. Würden andere Gründe geltend gemacht, setze ein Kantonswechsel die Zustimmung der betei­lig­ten Kantone voraus. Der Entscheid über den Kantonswechsel könne gemäss Art. 85 Abs. 4 des Bundesgesetzes vom 16. Dezember 2005 über die Ausländerinnen und Ausländer (AuG, SR 142.20) nur mit der Begründung angefochten werden, er verletze den Grundsatz der Einheit der Familie. Vorliegend handle es sich nicht um ein Gesuch um Kantonswechsel ge­stützt auf Art. 22 Abs. 2 AsylV 1 respektive es werde kein Anspruch auf Familieneinheit geltend gemacht; ein Kantonswechsel setze daher die Zustimmung der beteiligten Kantone voraus. Das Migrationsamt des Kantons verweigere den Kantonswechsel, weil vorliegend weder ein Anspruch auf Einheit der Familie noch eine schwerwiegende Gefährdung gemäss Art. 22 Abs. 2 AsylV 1 bestehen würden. Der Vertrag für eine Arbeitsstelle auf dem Gebiet des Kantons sei keine genügende Begrün­dung für einen Kantonswechsel. Der Beschwerdeführer verkenne mit seinem Einwand in der Stellung­nahme vom 24. März 2011, eine als Flüchtling anerkannte ausländische Person habe das Recht, den Ort ihres Aufenthaltes frei zu wählen und sich frei zu bewegen, dass sich Art. 37 Abs. 3 AuG auf Personen mit einer Niederlassungsbewilligung und nicht auf Personen mit einem Aus­weis F beziehe. Vorläufig aufgenommenen Flüchtlingen stünden nur die Rechte zu, die sich aus dem Abkommen vom 28. Juli 1951 über die Rechtsstellung der Flüchtlinge (FK, SR 0.142.30) ergeben würden. Die FK sehe in Bezug auf den Aufenthalt keine Privilegierung vor, weshalb vorläufig aufgenommene Flüchtlinge diesbezüglich den übrigen vorläu­fig aufgenommenen ausländischen Personen gleichgestellt seien. Auf­grund der ablehnenden Haltung des Migrationsamtes des Kantons müsse der Antrag auf Kantonswechsel abgelehnt werden. Mit Rechtsmitteleingabe vom 20. April 2011 beantragte der Beschwerde­führer durch seinen Rechtsvertreter in materieller Hinsicht - unter Kos­ten- und Entschädigungsfolge - die Aufhebung der vorinstanzlichen Verfügung, die Gutheissung des Kantonswechselgesuchs vom 21. Fe­bruar 2011 und die Bewilligung der Wohnsitznahme im Kanton. Das Bundesverwaltungsgericht heisst die Beschwerde gut. Aus den Erwägungen:</w:t>
      </w:r>
    </w:p>
    <w:p>
      <w:r>
        <w:rPr>
          <w:b/>
        </w:rPr>
        <w:t>E. 3.1</w:t>
      </w:r>
    </w:p>
    <w:p>
      <w:r>
        <w:t>Das Bundesverwaltungsgericht schliesst sich der höchstrich­terlichen Auslegungsmethodik an, welche gemäss BVGE 2009/8 wie folgt (zusammengefasst) zitiert sei: Das Gesetz muss in erster Linie aus sich selbst heraus, das heisst nach Wortlaut, Sinn und Zweck und den ihm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Normenverständnisses nicht aus sich selbst begrün­den lässt, sondern aus den Absichten des Gesetzgebers abzuleiten ist, die es mit Hilfe der herkömmlichen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Prioritä­tenordnung zu unterstellen (vgl. dazu BGE 131 III 35 E. 2, BGE 130 II 211 E. 5.1, BGE 119 II 186 E. 4b/aa; BVGE 2007/7 E. 4.1, BVGE 2007/24 E. 2.3, BVGE 2008/9 E. 6; Ulrich Häfelin/Walter Haller/ Helen Keller, Schweizerisches Bundes­staatsrecht, 7. Aufl., Zürich 2008, Rz. 80 ff.). 3.2.1 Das Ausländergesetz verwendet immer dann, wenn es von den in der Schweiz vorläufig aufgenommenen Menschen spricht, einerseits den Begriff der « vorläufig aufgenommenen Personen » und anderseits denjenigen der « vorläufig aufgenommenen Flüchtlinge ». Mit diesen beiden, teilweise im gleichen Artikel verwendeten Begriffen macht die Gesetzessprache klar, dass dabei zwei Kategorien derselben Begriffsstufe (vorläufig Aufgenommene ohne Flüchtlingseigenschaft und vorläufig Aufgenommene mit Flüchtlingseigenschaft) gemeint sind. Beispiele im AuG: Art. 83 Abs. 8, Art. 85 Abs. 1 6 einerseits und Abs. 7 anderseits, Art. 86 Abs. 1 und 2, Art. 87 Abs. 1 Bst. a einerseits und Bst. b anderseits; siehe auch Art. 59 und Art. 61 AsylG. Nur gerade im Art. 84 Abs. 5 AuG (Erteilung einer Aufenthaltsbewilligung) wird in der deutschen Fassung der Begriff der « vorläufig aufgenommenen Auslän­derinnen und Ausländern » verwendet; der Inhalt (Überprüfung der Zumutbarkeit) macht indessen klar, dass hierbei « vorläufig aufge­nom­mene Personen » gemeint sind (vgl. auch die französische Fassung, wo durchgehend von « l'étranger admis à titre provisoirement » die Rede ist, mit Ausnahme der Art. 83 Abs. 8 sowie Art. 85 Abs. 7 AuG und Art. 59 sowie Art. 61 AsylG, wo jeweils die vorläufig aufgenommenen Flücht­linge angesprochen sind). Im vorliegend interessierenden Art. 85 AuG ist die Unterscheidung der Wortwahl zwischen den Abs. 1, 2, 3, 5 und 6 (vorläufig aufgenommene Personen) und dem Abs. 7, welcher beide Begriffe verwendet (gleiche Rechtsfolge für die « vorläufig aufgenommenen Personen » und « die vorläufig aufgenommenen Flüchtlinge »), so klar und konsequent vorge­nommen worden, dass die gesetzgeberische Absicht, mit der Regelung in den Abs. 1-6 (Abs. 4 bezieht sich eindeutig auf den Abs. 3 und mithin auf die gleiche Kategorie) nur die vorläufig Aufgenommenen ohne Flücht­lingseigenschaft zu meinen, nicht in Frage gestellt werden kann. Zusammenfassend ergibt sowohl die grammatikalische als auch die sys­tematische Auslegung von Art. 85 Abs. 4 in Verbindung mit Abs. 3 AuG, dass es sich beim Begriff « vorläufig aufgenommene Personen » nicht um einen Oberbegriff handelt, sondern dieser sich auf derselben Begriffsstufe wie « vorläufig aufgenommene Flüchtlinge » befindet. Der Anwendungs­bereich von Art. 85 Abs. 4 AuG bezieht und beschränkt sich mithin auf die vorläufig aufgenommenen Personen ohne Flüchtlings­eigenschaft. Dieses Verständnis ergibt sich aus der Verwendung der beiden Begriffe in den Bestimmungen des AuG, wo namentlich mit der Formulierung der Art. 85 Abs. 7, Art. 86 Abs. 1 und Art. 87 Abs. 1 Bst. a und b neben den vorläufig aufgenommenen Personen explizit die vor­läufig aufgenom­menen Flüchtlinge erwähnt und separat geregelt werden. 3.2.2 Im Weiteren gewährt Art. 58 AsylG den Flüchtlingen aus­drück­lich alle Rechte, wie sie für Ausländerinnen und Ausländer im Allge­mei­nen gelten (vgl. etwa Art. 37 AuG: Kantonswechsel ist bewilli­gungs­pflichtig und die Verweigerung ist beschwerdefähig), und verweist auf die ihnen nach Gesetz und Flüchtlingskonvention zusätzlich zustehenden Rechte. Zu den Rechten gemäss den besonderen Bestimmungen der FK gehören explizit das Recht auf Freizügigkeit (Art. 26 FK: freie Wohn­sitz­wahl; Einschränkungen sind nur möglich, soweit sie « unter den gleichen Umständen für Ausländer im Allgemeinen gelten ») und das Recht auf freien Zugang zu den Gerichten (Art. 16 FK: wie Schweizer). Dafür, dass der Gesetzgeber bei Art. 85 Abs. 4 AuG bewusst einen Konflikt mit der FK in Kauf nehmen wollte, gibt es - im Unterschied zur damaligen par­lamentarischen Diskussion und zum Vernehmlassungs­verfahren be­treffend Art. 85 Abs. 7 AuG - in den Materialien keinen Hinweis. 3.2.3 Mit diesen Auslegungen nach dem Wortlaut und der Systematik des Gesetzes sowie nach dem Text und Sinn der FK ist gewährleistet, dass die Gesetzesanwendung völkerrechtskonform und auch verfassungs­konform (vgl. namentlich: Rechtsweggarantie gemäss Art. 29a der Bun­desverfassung der Schweizerischen Eidgenossenschaft vom 18. April 1999 [BV, SR 101], von welcher nur im Ausnahmefall mit einer aus­drücklichen gesetzlichen Regelung abgewichen werden darf) erfolgt. Damit ist die in Art. 85 Abs. 4 AuG für vorläufig aufgenommene Per­sonen vorgesehene Kognitionsbeschränkung nicht anwendbar für vor­läu­fig aufgenommene Flüchtlinge; diese können die Verletzung von Art. 26 FK und von Art. 37 AuG, welche Bestimmung den Wechsel des Wohn­orts in einen anderen Kanton für ausländische Personen regelt, vor dem Bundesverwaltungsgericht rügen.</w:t>
      </w:r>
    </w:p>
    <w:p>
      <w:r>
        <w:rPr>
          <w:b/>
        </w:rPr>
        <w:t>E. 4</w:t>
      </w:r>
    </w:p>
    <w:p>
      <w:r>
        <w:t>Aufgrund der vorstehenden Erwägungen ergibt sich, dass der Beschwerdeführer, der am Verfahren vor der Vorinstanz teilgenommen hat, durch die angefochtene Verfügung besonders berührt ist und ein schutzwürdiges Interesse an deren Aufhebung beziehungsweise Ände­rung hat, zur Einreichung der Beschwerde legitimiert ist (Art. 112 Abs. 1 AuG i.V.m. Art. 48 Abs. 1 des Verwaltungsverfahrensgesetzes vom 20. Dezember 1968 [VwVG, SR 172.021]), weil sich die Rüge, sein sich aus Art. 26 FK ergebender Anspruch auf Freizügigkeit sei verletzt, als zulässig erweist. Auf die Beschwerde ist somit einzutreten. 5.1 Mit Beschwerde an das Bundesverwaltungsgericht können die Verletzung von Bundesrecht - einschliesslich Überschreitung oder Miss­brauch des Ermessens (Art. 49 Bst. a VwVG) -, die unrichtige be­ziehungsweise unvollständige Feststellung des rechtserheblichen Sach­verhalts (Art. 49 Bst. b VwVG) und die Unangemessenheit der vorinstanz­li­chen Verfügung (Art. 49 Bst. c VwVG) gerügt werden. Zum Bundesrecht in diesem Sinn gehören auch die Normen des für die Schweiz verbind­lichen Staatsvertragsrechts (anstelle vieler: BGE 132 II 81 E. 1.3). Vor­ausgesetzt ist jedoch, dass die staatsvertragliche Bestim­mung, deren Verletzung gerügt wird, direkt anwendbar (self-executing) ist. Dies trifft zu, wenn die Bestimmung inhaltlich hinreichend bestimmt und klar ist, um im Einzelfall Grundlage eines Entscheides zu bilden. Die Norm muss justiziabel sein, das heisst, die Rechte und Pflichten des Einzelnen müssen umschrieben und der Adressat der Norm die rechts­anwendenden Behörden sein. Wie es sich damit verhält, ist von den rechtsanwendenden Behörden zu bestimmen (anstelle vieler: BGE 133 I 286 E. 3.2). Die Frage des self-executing-Charakters beziehungsweise der Justiziabilität der Norm ist dabei für jede einzelne Bestimmung in einem Staatsvertrag gesondert zu prüfen (anstelle vieler: Urteile des Bun­desverwaltungsgerichts A-6668/2010 vom 6. Dezember 2010 E. 3.1, A 4013/2010 vom 15. Juli 2010 E. 1.2, teilweise veröffentlicht in BVGE 2010/40; André Moser/Michael Beusch/Lorenz Kneubühler, Prozessieren vor dem Bundesverwaltungsgericht, Basel 2008, Rz. 2.168). 5.2.1 Art. 26 FK statuiert, dass jeder vertragsschliessende Staat den Flüchtlingen, die sich rechtmässig auf seinem Gebiet aufhalten, das Recht einräumt, dort ihren Aufenthaltsort zu wählen und sich frei zu bewegen, vorbehältlich der Bestimmungen, die unter den gleichen Um­ständen für Ausländer im Allgemeinen gelten. Hinsichtlich dieses Vor­be­haltes stellt sich die Frage, was unter dem Begriff « unter den gleichen Umständen für Ausländer im Allgemeinen » zu verstehen ist. 5.2.2 Sinn und Zweck von Art. 26 FK ist es, die Stellung von Flücht­lingen derjenigen von anderen ausländischen Personen anzu­glei­chen. Flüchtlinge sollen nur denjenigen Einschränkungen in Bezug auf die selbst bestimmte Wahl des Aufenthaltsortes und auf die Bewegungs­frei­heit unterworfen sein, die auch für andere Nichtbürger gelten (Andreas Zimmermann, The 1951 Convention Relating to the Status of Refugees and its 1967 Protocol - A Commentary, Oxford 2011, S. 1149 Rz. 2). Die Bestimmung von Art. 26 FK scheint deshalb inhaltlich hin­reichend be­stimmt und klar zu sein, weil die selbst bestimmte Wahl des Aufen­t­haltsortes und die Bewegungsfreiheit normalerweise allen aus­län­dischen Personen gewährt wird, wobei Einschränkungen in gewissen Fällen möglich sind, wie etwa speziell erforderliche Bewilligungen für aus­län­dische Personen, um sich an bestimmten überbevölkerten Orten oder in Sperrgebieten aufzuhalten (Zimmermann, a.a.O., S. 1160 Rz. 55). In der Botschaft des Bundesrates vom 28. Juli 1951 zum Bes­chlussentwurf über die Genehmigung des Abkommens über die Rechts­stellung der Flücht­linge (BBl 1954 II 80) wird festgehalten, Art. 26 FK könne die Vertrags­staaten nicht daran hindern, die in Art. 9 FK vor­gesehenen provisorischen Massnahmen zu ergreifen, womit in Wirk­lich­keit die Freizügigkeit der Flüchtlinge eingeschränkt werde. Diese Be­stimmung könne auch nicht etwa gegen eine Internierungs­massnahme angerufen werden, womit die Bewegungsmöglichkeit des Flüchtlings beschränkt werde, sofern die Massnahme auch gegenüber einem anderen Ausländer, der nicht dem Flüchtlingsstatut unterstehe, hätte ergriffen werden kön­nen. Art. 14 Abs. 2 des (inzwischen durch das AuG ersetzten) Bun­des­ge­setzes vom 26. März 1931 über Aufenthalt und Niederlassung der Aus­länder (ANAG, BS 1 121) werde somit von dieser Bestimmung des Ab­kom­mens nicht berührt. Vor diesem Hintergrund ergibt sich, dass Art. 26 FK darauf abzielt, die Einschränkungen der freien Wahl des Aufenthaltsortes und der Bewe­gungsfreiheit für Flüchtlinge auf ein Minimum zu beschränken, auf Fälle etwa, wo eine freie Ortswahl von Ausländern die Sicherheit des Landes tangieren würde. Der für den Vorbehalt verwendete Refe­renz­begriff « vorbehältlich der Bestimmungen, die unter den gleichen Um­ständen für Ausländer im Allgemeinen gelten » ist dergestalt auszulegen, dass nur solche einschränkende Bestimmungen zulässig sind, die für sämtliche Kategorien von Ausländern gelten. Entsprechend ist auf die­jenigen Ein­schränkungen abzustellen, die auch auf Ausländer mit einer Nieder­las­sungsbewilligung anwendbar sind, weil der Vorbehalt sonst nicht, wie von Art. 26 FK verlangt, auf ausländische Personen im Allgemeinen an­gewendet würde. Es widerspräche folglich dem Sinn und Wortlaut von Art. 26 FK, wenn lediglich auf die Kategorie der vorläufig aufgenom­menen Personen ohne Flüchtlingsstatus abgestellt würde, welche die stärksten Einschränkungen der Bewegungsfreiheit in Kauf zu nehmen hat. Auch der in Art. 6 FK definierte Begriff « unter den gleichen Um­ständen » erlaubt keine ausschliessliche Verbindung zu vorläufig aufge­nommenen Personen ohne Flüchtlingsstatus. Art. 6 FK bezieht sich darauf, dass gewisse Rechte nur Personen gewährt werden, die be­stimmte Kriterien erfüllen oder die bestimmte Qualifikationen aufweisen. Einschränkende Bestimmungen sind nur zulässig, wenn davon aus­län­dische Personen im Allgemeinen (alle Kategorien von Ausländern, ein­schliesslich niedergelassene Personen) betroffen sind. 5.2.3 Aufgrund der vorstehenden Erwägungen ergibt sich, dass die Bestimmung von Art. 26 FK inhaltlich hinreichend bestimmt und klar (self-executing) ist, um innerstaatlich unmittelbar zur Anwendung zu gelangen. Sie ist auch justiziabel, da sie die Rechte und Pflichten des Einzelnen umschreibt und der Adressat der Norm die rechtsanwendenden Behörden sind. Art. 26 FK begründet für vorläufig aufgenommene Flüchtlinge einen Anspruch auf Kantonswechsel im gleichen Umfang, wie er einer niedergelassenen Person gestützt auf Art. 37 Abs. 3 AuG zusteht. 6.1 Gemäss Art. 37 Abs. 3 AuG haben Personen mit einer Nie­der­lassungsbewilligung Anspruch auf den Kantonswechsel, wenn keine Widerrufsgründe nach Art. 63 AuG vorliegen. Art. 63 AuG statuiert, dass die Niederlassungsbewilligung nur widerrufen werden kann, wenn die Voraussetzungen nach Art. 62 Bst. a oder b erfüllt sind (Bst. a), die Ausländerin oder der Ausländer in schwerwiegender Weise gegen die öffentliche Sicherheit und Ordnung in der Schweiz oder im Ausland verstossen hat oder diese gefährdet oder die innere oder die äussere Sicherheit gefährdet (Bst. b), oder die Ausländerin oder der Ausländer oder eine Person, für die sie oder er zu sorgen hat, dauerhaft und in erheblichem Mass auf Sozialhilfe angewiesen ist (Bst. c). 6.2 In Bezug auf den von der Sozialhilfe abhängigen Beschwerde­führer ist festzustellen, dass sich dieser - soweit aktenkundig - seit seiner am 11. August 2008 erfolgten Einreise in die Schweiz nichts hat zu­schulden lassen kommen, weshalb sinngemäss einzig der Widerrufs­grund von Art. 63 Bst. c AuG in Frage käme. Gemäss ständiger Recht­sprechung des Bundesgerichts ist der erwähnte Widerrufsgrund erfüllt, wenn kon­kret die Gefahr einer fortgesetzten und erheblichen Fürsorge­abhän­gigkeit besteht. Blosse finanzielle Bedenken genügen nicht.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(vgl. etwa Urteil des Bundesgerichts 2C_74/2010 E. 3.4 vom 10. Juni 2010 mit weiteren Hinweisen). Diese Voraussetzungen sind vorliegend nicht erfüllt, da der Beschwerde­führer seit seiner Einreise in die Schweiz keine unverhältnismässig hohen finanziellen Unterstützungsleistungen erhalten hat. Zudem kann ange­sichts des zu den Akten gereichten Arbeitsvertrages sowie der letztmals am 20. Dezember 2011 erfolgten Zusicherung seines zukünftigen Arbeit­gebers im Kanton (...), dem Beschwerdeführer die angebotene Stelle weiterhin zur Verfügung zu halten, damit gerechnet werden, dass er in Zukunft für seinen Lebensunterhalt aufkommen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